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94" w:rsidRPr="003E17DE" w:rsidRDefault="003E17DE" w:rsidP="003E17D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7DE">
        <w:rPr>
          <w:rFonts w:ascii="Times New Roman" w:hAnsi="Times New Roman" w:cs="Times New Roman"/>
          <w:b/>
          <w:sz w:val="28"/>
          <w:szCs w:val="28"/>
        </w:rPr>
        <w:t>Ю.В.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C94" w:rsidRPr="003E17DE">
        <w:rPr>
          <w:rFonts w:ascii="Times New Roman" w:hAnsi="Times New Roman" w:cs="Times New Roman"/>
          <w:b/>
          <w:sz w:val="28"/>
          <w:szCs w:val="28"/>
        </w:rPr>
        <w:t>Развадовская</w:t>
      </w:r>
    </w:p>
    <w:p w:rsidR="00710B36" w:rsidRPr="00710B36" w:rsidRDefault="00710B36" w:rsidP="00710B3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0FC" w:rsidRDefault="001B089D" w:rsidP="003E17D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Комплиментарно - адаптивное применение</w:t>
      </w:r>
      <w:r w:rsidR="0024260A" w:rsidRPr="0024260A">
        <w:rPr>
          <w:rFonts w:ascii="Times New Roman" w:hAnsi="Times New Roman" w:cs="Times New Roman"/>
          <w:b/>
          <w:sz w:val="28"/>
          <w:szCs w:val="28"/>
        </w:rPr>
        <w:t xml:space="preserve"> инст</w:t>
      </w:r>
      <w:r>
        <w:rPr>
          <w:rFonts w:ascii="Times New Roman" w:hAnsi="Times New Roman" w:cs="Times New Roman"/>
          <w:b/>
          <w:sz w:val="28"/>
          <w:szCs w:val="28"/>
        </w:rPr>
        <w:t>рументов межбюджетных отношений для целей выравнивания социально-экономического развития регионов</w:t>
      </w:r>
    </w:p>
    <w:p w:rsidR="003E17DE" w:rsidRPr="0024260A" w:rsidRDefault="003E17DE" w:rsidP="003E17D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1A3" w:rsidRDefault="00360B39" w:rsidP="00AD41A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тенденции социально-экономического развития российских регионов отличаются неоднозначностью, что связанно с процессами глобализации и либерализации экономических отношений между субъектами. С одной стороны данные процессы, несомненно, имеют положительные эффекты, но с другой стороны результатом их проявления является усиление дифференциации территорий по уровню социально-экономического развития в результате неравномерного распределения ресурсов, факторов производства и капитала</w:t>
      </w:r>
      <w:r w:rsidR="00ED1F9F">
        <w:rPr>
          <w:rFonts w:ascii="Times New Roman" w:hAnsi="Times New Roman" w:cs="Times New Roman"/>
          <w:sz w:val="28"/>
          <w:szCs w:val="28"/>
        </w:rPr>
        <w:t xml:space="preserve"> </w:t>
      </w:r>
      <w:r w:rsidR="00ED1F9F" w:rsidRPr="00ED1F9F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62B6">
        <w:rPr>
          <w:rFonts w:ascii="Times New Roman" w:hAnsi="Times New Roman" w:cs="Times New Roman"/>
          <w:sz w:val="28"/>
          <w:szCs w:val="28"/>
        </w:rPr>
        <w:t>Таким образом,</w:t>
      </w:r>
      <w:r w:rsidR="004E321C">
        <w:rPr>
          <w:rFonts w:ascii="Times New Roman" w:hAnsi="Times New Roman" w:cs="Times New Roman"/>
          <w:sz w:val="28"/>
          <w:szCs w:val="28"/>
        </w:rPr>
        <w:t xml:space="preserve"> в силу неравномерности территориального распределения ресурсов</w:t>
      </w:r>
      <w:r w:rsidR="000662B6">
        <w:rPr>
          <w:rFonts w:ascii="Times New Roman" w:hAnsi="Times New Roman" w:cs="Times New Roman"/>
          <w:sz w:val="28"/>
          <w:szCs w:val="28"/>
        </w:rPr>
        <w:t xml:space="preserve"> субъекты одного уровня, изначально имеют разные возможности для мобилизации налоговых</w:t>
      </w:r>
      <w:r w:rsidR="004E321C">
        <w:rPr>
          <w:rFonts w:ascii="Times New Roman" w:hAnsi="Times New Roman" w:cs="Times New Roman"/>
          <w:sz w:val="28"/>
          <w:szCs w:val="28"/>
        </w:rPr>
        <w:t xml:space="preserve"> поступлений в бюджет региона. </w:t>
      </w:r>
      <w:r w:rsidR="00AD41A3">
        <w:rPr>
          <w:rFonts w:ascii="Times New Roman" w:hAnsi="Times New Roman" w:cs="Times New Roman"/>
          <w:sz w:val="28"/>
          <w:szCs w:val="28"/>
        </w:rPr>
        <w:t xml:space="preserve">В условиях такой неравномерности социально-экономического развития основной задачей межбюджетного регулирования становиться финансовая поддержка менее благополучных регионов. </w:t>
      </w:r>
    </w:p>
    <w:p w:rsidR="0024260A" w:rsidRDefault="00AD41A3" w:rsidP="00AD41A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Действующая</w:t>
      </w:r>
      <w:r w:rsidR="0024260A" w:rsidRPr="0024260A">
        <w:rPr>
          <w:rFonts w:ascii="Times New Roman" w:hAnsi="Times New Roman" w:cs="Times New Roman"/>
          <w:sz w:val="28"/>
          <w:szCs w:val="28"/>
        </w:rPr>
        <w:t xml:space="preserve"> система межбюджетных отношений, тренды ее развития в России, в том числе </w:t>
      </w:r>
      <w:r w:rsidR="005F68BB">
        <w:rPr>
          <w:rFonts w:ascii="Times New Roman" w:hAnsi="Times New Roman" w:cs="Times New Roman"/>
          <w:sz w:val="28"/>
          <w:szCs w:val="28"/>
        </w:rPr>
        <w:t>процесс выравнивания, направлены</w:t>
      </w:r>
      <w:r w:rsidR="0024260A" w:rsidRPr="0024260A">
        <w:rPr>
          <w:rFonts w:ascii="Times New Roman" w:hAnsi="Times New Roman" w:cs="Times New Roman"/>
          <w:sz w:val="28"/>
          <w:szCs w:val="28"/>
        </w:rPr>
        <w:t xml:space="preserve"> на сглаживание территориальной дифференциации социально-экономического развития регионов</w:t>
      </w:r>
      <w:r w:rsidR="00ED1F9F" w:rsidRPr="00ED1F9F">
        <w:rPr>
          <w:rFonts w:ascii="Times New Roman" w:hAnsi="Times New Roman" w:cs="Times New Roman"/>
          <w:sz w:val="28"/>
          <w:szCs w:val="28"/>
        </w:rPr>
        <w:t xml:space="preserve"> [2]</w:t>
      </w:r>
      <w:r w:rsidR="0024260A" w:rsidRPr="0024260A">
        <w:rPr>
          <w:rFonts w:ascii="Times New Roman" w:hAnsi="Times New Roman" w:cs="Times New Roman"/>
          <w:sz w:val="28"/>
          <w:szCs w:val="28"/>
        </w:rPr>
        <w:t xml:space="preserve">. </w:t>
      </w:r>
      <w:r w:rsidR="006D60D0">
        <w:rPr>
          <w:rFonts w:ascii="Times New Roman" w:hAnsi="Times New Roman" w:cs="Times New Roman"/>
          <w:sz w:val="28"/>
          <w:szCs w:val="28"/>
        </w:rPr>
        <w:t xml:space="preserve"> При этом обязательной задачей любого государства, независимо от его устройства является сглаживание территориальных диспропорций посредством перераспределения финансовых ресурсов </w:t>
      </w:r>
      <w:r w:rsidR="00ED1F9F" w:rsidRPr="00ED1F9F">
        <w:rPr>
          <w:rFonts w:ascii="Times New Roman" w:hAnsi="Times New Roman" w:cs="Times New Roman"/>
          <w:sz w:val="28"/>
          <w:szCs w:val="28"/>
        </w:rPr>
        <w:t>[3]</w:t>
      </w:r>
      <w:r w:rsidR="0024260A" w:rsidRPr="0024260A">
        <w:rPr>
          <w:rFonts w:ascii="Times New Roman" w:hAnsi="Times New Roman" w:cs="Times New Roman"/>
          <w:sz w:val="28"/>
          <w:szCs w:val="28"/>
        </w:rPr>
        <w:t xml:space="preserve">. При этом стабильность межбюджетных отношений между федеральным центром и субъектами федерации во многом определяется отлаженной системой бюджетного федерализма, заключающегося в принятии эффективных управленческих решений по поводу распределения </w:t>
      </w:r>
      <w:r w:rsidR="0024260A" w:rsidRPr="0024260A">
        <w:rPr>
          <w:rFonts w:ascii="Times New Roman" w:hAnsi="Times New Roman" w:cs="Times New Roman"/>
          <w:sz w:val="28"/>
          <w:szCs w:val="28"/>
        </w:rPr>
        <w:lastRenderedPageBreak/>
        <w:t>финансовых потоков, которые способны сгладить социально-эко</w:t>
      </w:r>
      <w:r w:rsidR="005F68BB">
        <w:rPr>
          <w:rFonts w:ascii="Times New Roman" w:hAnsi="Times New Roman" w:cs="Times New Roman"/>
          <w:sz w:val="28"/>
          <w:szCs w:val="28"/>
        </w:rPr>
        <w:t>номическое неравенство</w:t>
      </w:r>
      <w:r w:rsidR="0024260A" w:rsidRPr="0024260A">
        <w:rPr>
          <w:rFonts w:ascii="Times New Roman" w:hAnsi="Times New Roman" w:cs="Times New Roman"/>
          <w:sz w:val="28"/>
          <w:szCs w:val="28"/>
        </w:rPr>
        <w:t>. В настоящее время бюджетный процесс характеризуется серьезными противоречиями, возникающими как на этапе разработки, так и на этапах реализации управленческих решений, направленных на регулирование финансовых потоков в системе взаимоотношений бюджетов различного уровня</w:t>
      </w:r>
      <w:r w:rsidR="00ED1F9F" w:rsidRPr="00ED1F9F">
        <w:rPr>
          <w:rFonts w:ascii="Times New Roman" w:hAnsi="Times New Roman" w:cs="Times New Roman"/>
          <w:sz w:val="28"/>
          <w:szCs w:val="28"/>
        </w:rPr>
        <w:t xml:space="preserve"> [4]</w:t>
      </w:r>
      <w:r w:rsidR="0024260A" w:rsidRPr="0024260A">
        <w:rPr>
          <w:rFonts w:ascii="Times New Roman" w:hAnsi="Times New Roman" w:cs="Times New Roman"/>
          <w:sz w:val="28"/>
          <w:szCs w:val="28"/>
        </w:rPr>
        <w:t>.</w:t>
      </w:r>
    </w:p>
    <w:p w:rsidR="00AD41A3" w:rsidRDefault="00AD41A3" w:rsidP="00AD41A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развитых странах бюджетное выравнивание </w:t>
      </w:r>
      <w:r w:rsidR="001B089D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регионов </w:t>
      </w:r>
      <w:r>
        <w:rPr>
          <w:rFonts w:ascii="Times New Roman" w:hAnsi="Times New Roman" w:cs="Times New Roman"/>
          <w:sz w:val="28"/>
          <w:szCs w:val="28"/>
        </w:rPr>
        <w:t xml:space="preserve">имеет разные виды и осуществляется при помощи различных инструментов. Оно может </w:t>
      </w:r>
      <w:r w:rsidR="005F68BB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 xml:space="preserve">реализовано как в форме «уступки налогов», так и посредством перечисления средств из федерального бюджета бюджетам других уровней. При этом в каждой стране </w:t>
      </w:r>
      <w:r w:rsidR="00AA3B13">
        <w:rPr>
          <w:rFonts w:ascii="Times New Roman" w:hAnsi="Times New Roman" w:cs="Times New Roman"/>
          <w:sz w:val="28"/>
          <w:szCs w:val="28"/>
        </w:rPr>
        <w:t>бюджетное выравнивание имеет свои особенности. Так</w:t>
      </w:r>
      <w:r w:rsidR="001B089D">
        <w:rPr>
          <w:rFonts w:ascii="Times New Roman" w:hAnsi="Times New Roman" w:cs="Times New Roman"/>
          <w:sz w:val="28"/>
          <w:szCs w:val="28"/>
        </w:rPr>
        <w:t>,</w:t>
      </w:r>
      <w:r w:rsidR="00AA3B13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1B089D">
        <w:rPr>
          <w:rFonts w:ascii="Times New Roman" w:hAnsi="Times New Roman" w:cs="Times New Roman"/>
          <w:sz w:val="28"/>
          <w:szCs w:val="28"/>
        </w:rPr>
        <w:t>,</w:t>
      </w:r>
      <w:r w:rsidR="00AA3B13">
        <w:rPr>
          <w:rFonts w:ascii="Times New Roman" w:hAnsi="Times New Roman" w:cs="Times New Roman"/>
          <w:sz w:val="28"/>
          <w:szCs w:val="28"/>
        </w:rPr>
        <w:t xml:space="preserve"> в США в основном используют перечисление средств менее развитым регионам, а в Канаде применяется уступка налогов. </w:t>
      </w:r>
      <w:r w:rsidR="00791A20">
        <w:rPr>
          <w:rFonts w:ascii="Times New Roman" w:hAnsi="Times New Roman" w:cs="Times New Roman"/>
          <w:sz w:val="28"/>
          <w:szCs w:val="28"/>
        </w:rPr>
        <w:t>В це</w:t>
      </w:r>
      <w:r w:rsidR="005F68BB">
        <w:rPr>
          <w:rFonts w:ascii="Times New Roman" w:hAnsi="Times New Roman" w:cs="Times New Roman"/>
          <w:sz w:val="28"/>
          <w:szCs w:val="28"/>
        </w:rPr>
        <w:t>лом бюджетное выравнивание являе</w:t>
      </w:r>
      <w:r w:rsidR="00791A20">
        <w:rPr>
          <w:rFonts w:ascii="Times New Roman" w:hAnsi="Times New Roman" w:cs="Times New Roman"/>
          <w:sz w:val="28"/>
          <w:szCs w:val="28"/>
        </w:rPr>
        <w:t>тся частью бюджетного регулирования, которое намного шире</w:t>
      </w:r>
      <w:r w:rsidR="001B089D">
        <w:rPr>
          <w:rFonts w:ascii="Times New Roman" w:hAnsi="Times New Roman" w:cs="Times New Roman"/>
          <w:sz w:val="28"/>
          <w:szCs w:val="28"/>
        </w:rPr>
        <w:t xml:space="preserve"> и включает в себя не только выравнивание бюджетной обеспеченности, но и стимулирование регионов к экономическому развитию</w:t>
      </w:r>
      <w:r w:rsidR="00ED1F9F" w:rsidRPr="00ED1F9F">
        <w:rPr>
          <w:rFonts w:ascii="Times New Roman" w:hAnsi="Times New Roman" w:cs="Times New Roman"/>
          <w:sz w:val="28"/>
          <w:szCs w:val="28"/>
        </w:rPr>
        <w:t xml:space="preserve"> </w:t>
      </w:r>
      <w:r w:rsidR="00ED1F9F" w:rsidRPr="005F68BB">
        <w:rPr>
          <w:rFonts w:ascii="Times New Roman" w:hAnsi="Times New Roman" w:cs="Times New Roman"/>
          <w:sz w:val="28"/>
          <w:szCs w:val="28"/>
        </w:rPr>
        <w:t>[5]</w:t>
      </w:r>
      <w:r w:rsidR="001B08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304" w:rsidRDefault="001B089D" w:rsidP="003A530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бюджетного регулирования представляет собой совокупность инструментов, методов и финансовых технологий, с помощью которых институты государственной власти регулируют процессы формирования и расходования бюджетных фондов для достижения целей социально-экономического развития государства. </w:t>
      </w:r>
      <w:r w:rsidR="00FE51DE">
        <w:rPr>
          <w:rFonts w:ascii="Times New Roman" w:hAnsi="Times New Roman" w:cs="Times New Roman"/>
          <w:sz w:val="28"/>
          <w:szCs w:val="28"/>
        </w:rPr>
        <w:t>В теории управления существует несколько моделей регулирования, в том числе оперативного управления и нормативного регулирования</w:t>
      </w:r>
      <w:r w:rsidR="00ED1F9F" w:rsidRPr="00ED1F9F">
        <w:rPr>
          <w:rFonts w:ascii="Times New Roman" w:hAnsi="Times New Roman" w:cs="Times New Roman"/>
          <w:sz w:val="28"/>
          <w:szCs w:val="28"/>
        </w:rPr>
        <w:t xml:space="preserve"> [6]</w:t>
      </w:r>
      <w:r w:rsidR="00FE51DE">
        <w:rPr>
          <w:rFonts w:ascii="Times New Roman" w:hAnsi="Times New Roman" w:cs="Times New Roman"/>
          <w:sz w:val="28"/>
          <w:szCs w:val="28"/>
        </w:rPr>
        <w:t xml:space="preserve">. Однако в сфере </w:t>
      </w:r>
      <w:r w:rsidR="00F6510A">
        <w:rPr>
          <w:rFonts w:ascii="Times New Roman" w:hAnsi="Times New Roman" w:cs="Times New Roman"/>
          <w:sz w:val="28"/>
          <w:szCs w:val="28"/>
        </w:rPr>
        <w:t xml:space="preserve">межбюджетных отношений управление осуществляется только на основе нормативного регулирования, так как отношения между органами государственной власти строго регламентированы нормативно-правовыми документами. </w:t>
      </w:r>
      <w:r w:rsidR="00D64192">
        <w:rPr>
          <w:rFonts w:ascii="Times New Roman" w:hAnsi="Times New Roman" w:cs="Times New Roman"/>
          <w:sz w:val="28"/>
          <w:szCs w:val="28"/>
        </w:rPr>
        <w:t xml:space="preserve">Основным назначением таких документов является регулирование процесса формирования доходов субъектов, а также процесса распределения и перераспределения доходов. Одной из основных целей, на </w:t>
      </w:r>
      <w:r w:rsidR="00D64192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которой направлен механизм межбюджетного регулирования является формирование сбалансированности бюджетного развития регионов. </w:t>
      </w:r>
    </w:p>
    <w:p w:rsidR="00A443D6" w:rsidRDefault="00A443D6" w:rsidP="001C55D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опыт демонстрирует отсутствие оптимальной модели межбюджетных отношений</w:t>
      </w:r>
      <w:r w:rsidR="00ED1F9F" w:rsidRPr="00ED1F9F">
        <w:rPr>
          <w:rFonts w:ascii="Times New Roman" w:hAnsi="Times New Roman" w:cs="Times New Roman"/>
          <w:sz w:val="28"/>
          <w:szCs w:val="28"/>
        </w:rPr>
        <w:t xml:space="preserve"> [7]</w:t>
      </w:r>
      <w:r>
        <w:rPr>
          <w:rFonts w:ascii="Times New Roman" w:hAnsi="Times New Roman" w:cs="Times New Roman"/>
          <w:sz w:val="28"/>
          <w:szCs w:val="28"/>
        </w:rPr>
        <w:t xml:space="preserve">. В зависимости от целей развития определяется </w:t>
      </w:r>
      <w:r w:rsidR="003A5304">
        <w:rPr>
          <w:rFonts w:ascii="Times New Roman" w:hAnsi="Times New Roman" w:cs="Times New Roman"/>
          <w:sz w:val="28"/>
          <w:szCs w:val="28"/>
        </w:rPr>
        <w:t xml:space="preserve">набор инструментов обеспечивающих сбалансированность территориального развития. </w:t>
      </w:r>
      <w:r w:rsidR="003A5304">
        <w:rPr>
          <w:rFonts w:ascii="TimesNewRoman" w:hAnsi="TimesNewRoman" w:cs="TimesNewRoman"/>
          <w:sz w:val="28"/>
          <w:szCs w:val="28"/>
        </w:rPr>
        <w:t>Существующие модели межбюджетных отношений в значительной степени отличаются друг от друга, что определяется спецификой построения бюджетной системы отдельной страны, а также формами прохождения бюджетных средств между ее уровнями.</w:t>
      </w:r>
      <w:r w:rsidR="006D60D0">
        <w:rPr>
          <w:rFonts w:ascii="TimesNewRoman" w:hAnsi="TimesNewRoman" w:cs="TimesNewRoman"/>
          <w:sz w:val="28"/>
          <w:szCs w:val="28"/>
        </w:rPr>
        <w:t xml:space="preserve"> В практике реализации мер государственного регулирования сбалансированности бюджетов регионов в некоторых странах финансовые средства могут передаваться из федерального бюджета в бюджеты нижестоящих уровней. При этом субфедеральные бюджеты выступают в качестве посредников при передач</w:t>
      </w:r>
      <w:r w:rsidR="003E17DE">
        <w:rPr>
          <w:rFonts w:ascii="TimesNewRoman" w:hAnsi="TimesNewRoman" w:cs="TimesNewRoman"/>
          <w:sz w:val="28"/>
          <w:szCs w:val="28"/>
        </w:rPr>
        <w:t>е</w:t>
      </w:r>
      <w:r w:rsidR="006D60D0">
        <w:rPr>
          <w:rFonts w:ascii="TimesNewRoman" w:hAnsi="TimesNewRoman" w:cs="TimesNewRoman"/>
          <w:sz w:val="28"/>
          <w:szCs w:val="28"/>
        </w:rPr>
        <w:t xml:space="preserve"> средств и не играют никакой роли в распределении финансовых </w:t>
      </w:r>
      <w:r w:rsidR="006D60D0" w:rsidRPr="006D60D0">
        <w:rPr>
          <w:rFonts w:ascii="TimesNewRoman" w:hAnsi="TimesNewRoman" w:cs="TimesNewRoman"/>
          <w:sz w:val="28"/>
          <w:szCs w:val="28"/>
        </w:rPr>
        <w:t xml:space="preserve">ресурсов. В качестве примера такой системы организации межбюджетного взаимодействия при реализации политики сглаживания территориального развития можно привести США. </w:t>
      </w:r>
    </w:p>
    <w:p w:rsidR="00D34F56" w:rsidRDefault="00D64192" w:rsidP="00D34F5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инструментов межбюджетного регулирования различают такие уровни сбалансированности как вертикальная и горизонтальная сбалансированность, и соответственно инструменты вертикального и горизонтального выравнивания</w:t>
      </w:r>
      <w:r w:rsidR="00ED1F9F" w:rsidRPr="00ED1F9F">
        <w:rPr>
          <w:rFonts w:ascii="Times New Roman" w:hAnsi="Times New Roman" w:cs="Times New Roman"/>
          <w:sz w:val="28"/>
          <w:szCs w:val="28"/>
        </w:rPr>
        <w:t xml:space="preserve"> [8]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192" w:rsidRDefault="00D64192" w:rsidP="00D34F56">
      <w:pPr>
        <w:pStyle w:val="a6"/>
        <w:spacing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вертикальной сбалансированности </w:t>
      </w:r>
      <w:r w:rsidR="00D34F56">
        <w:rPr>
          <w:rFonts w:ascii="Times New Roman" w:hAnsi="Times New Roman" w:cs="Times New Roman"/>
          <w:sz w:val="28"/>
          <w:szCs w:val="28"/>
        </w:rPr>
        <w:t xml:space="preserve">предъявляет требования к государственным </w:t>
      </w:r>
      <w:r w:rsidR="00D34F56" w:rsidRPr="00F72628">
        <w:rPr>
          <w:rFonts w:ascii="Times New Roman" w:hAnsi="Times New Roman" w:cs="Times New Roman"/>
          <w:sz w:val="28"/>
          <w:szCs w:val="28"/>
        </w:rPr>
        <w:t xml:space="preserve">органам управления всех уровней власти. </w:t>
      </w:r>
      <w:r w:rsidR="00F72628">
        <w:rPr>
          <w:rFonts w:ascii="Times New Roman" w:hAnsi="Times New Roman" w:cs="Times New Roman"/>
          <w:sz w:val="28"/>
          <w:szCs w:val="28"/>
        </w:rPr>
        <w:t xml:space="preserve">В случае когда </w:t>
      </w:r>
      <w:r w:rsidR="00D34F56" w:rsidRPr="00F72628">
        <w:rPr>
          <w:rFonts w:ascii="TimesNewRoman" w:hAnsi="TimesNewRoman" w:cs="TimesNewRoman"/>
          <w:sz w:val="28"/>
          <w:szCs w:val="28"/>
        </w:rPr>
        <w:t xml:space="preserve"> пот</w:t>
      </w:r>
      <w:r w:rsidR="00F72628">
        <w:rPr>
          <w:rFonts w:ascii="TimesNewRoman" w:hAnsi="TimesNewRoman" w:cs="TimesNewRoman"/>
          <w:sz w:val="28"/>
          <w:szCs w:val="28"/>
        </w:rPr>
        <w:t>енциальных возможностей</w:t>
      </w:r>
      <w:r w:rsidR="00D34F56" w:rsidRPr="00F72628">
        <w:rPr>
          <w:rFonts w:ascii="TimesNewRoman" w:hAnsi="TimesNewRoman" w:cs="TimesNewRoman"/>
          <w:sz w:val="28"/>
          <w:szCs w:val="28"/>
        </w:rPr>
        <w:t xml:space="preserve"> </w:t>
      </w:r>
      <w:r w:rsidR="00F72628">
        <w:rPr>
          <w:rFonts w:ascii="TimesNewRoman" w:hAnsi="TimesNewRoman" w:cs="TimesNewRoman"/>
          <w:sz w:val="28"/>
          <w:szCs w:val="28"/>
        </w:rPr>
        <w:t>для обеспечения доходной части бюджета недостаточно</w:t>
      </w:r>
      <w:r w:rsidR="00D34F56" w:rsidRPr="00F72628">
        <w:rPr>
          <w:rFonts w:ascii="TimesNewRoman" w:hAnsi="TimesNewRoman" w:cs="TimesNewRoman"/>
          <w:sz w:val="28"/>
          <w:szCs w:val="28"/>
        </w:rPr>
        <w:t xml:space="preserve"> на нижестоящем уровне для финансирования выполняемых функций и предоставляемых услуг, то вышестоящий уровень власти обязан предоставить нижестоящему уровню власти недостающие</w:t>
      </w:r>
      <w:r w:rsidR="00D34F56" w:rsidRPr="00F72628">
        <w:rPr>
          <w:rFonts w:ascii="Times New Roman" w:hAnsi="Times New Roman" w:cs="Times New Roman"/>
          <w:sz w:val="28"/>
          <w:szCs w:val="28"/>
        </w:rPr>
        <w:t xml:space="preserve"> </w:t>
      </w:r>
      <w:r w:rsidR="00D34F56" w:rsidRPr="00F72628">
        <w:rPr>
          <w:rFonts w:ascii="TimesNewRoman" w:hAnsi="TimesNewRoman" w:cs="TimesNewRoman"/>
          <w:sz w:val="28"/>
          <w:szCs w:val="28"/>
        </w:rPr>
        <w:t>бюджетные ресурсы</w:t>
      </w:r>
      <w:r w:rsidR="00ED1F9F" w:rsidRPr="00F72628">
        <w:rPr>
          <w:rFonts w:ascii="TimesNewRoman" w:hAnsi="TimesNewRoman" w:cs="TimesNewRoman"/>
          <w:sz w:val="28"/>
          <w:szCs w:val="28"/>
        </w:rPr>
        <w:t xml:space="preserve"> [9]</w:t>
      </w:r>
      <w:r w:rsidR="00D34F56" w:rsidRPr="00F72628">
        <w:rPr>
          <w:rFonts w:ascii="TimesNewRoman" w:hAnsi="TimesNewRoman" w:cs="TimesNewRoman"/>
          <w:sz w:val="28"/>
          <w:szCs w:val="28"/>
        </w:rPr>
        <w:t>. Вертикальная сбалансированность</w:t>
      </w:r>
      <w:r w:rsidR="00D34F56">
        <w:rPr>
          <w:rFonts w:ascii="TimesNewRoman" w:hAnsi="TimesNewRoman" w:cs="TimesNewRoman"/>
          <w:sz w:val="28"/>
          <w:szCs w:val="28"/>
        </w:rPr>
        <w:t xml:space="preserve"> предполагает рациональное распределение бюджетных полномочий между всеми уровнями власти, за счет чего происходит выравнивание финансовых потребностей субъектов </w:t>
      </w:r>
      <w:r w:rsidR="00D34F56">
        <w:rPr>
          <w:rFonts w:ascii="TimesNewRoman" w:hAnsi="TimesNewRoman" w:cs="TimesNewRoman"/>
          <w:sz w:val="28"/>
          <w:szCs w:val="28"/>
        </w:rPr>
        <w:lastRenderedPageBreak/>
        <w:t xml:space="preserve">различного уровня. При этом обеспечивается выравнивание финансовых возможностей регионов долей их участия в распределении общенационального налогового потенциала. </w:t>
      </w:r>
    </w:p>
    <w:p w:rsidR="003E0517" w:rsidRDefault="00D34F56" w:rsidP="00D34F56">
      <w:pPr>
        <w:pStyle w:val="a6"/>
        <w:spacing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Таким образом, вертикальное выравнивание является процессом достижения сбалансированности между объемом обязательств каждого уровня власти по расходам с </w:t>
      </w:r>
      <w:r w:rsidR="00CE68FB">
        <w:rPr>
          <w:rFonts w:ascii="TimesNewRoman" w:hAnsi="TimesNewRoman" w:cs="TimesNewRoman"/>
          <w:sz w:val="28"/>
          <w:szCs w:val="28"/>
        </w:rPr>
        <w:t>потенциалом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CE68FB">
        <w:rPr>
          <w:rFonts w:ascii="TimesNewRoman" w:hAnsi="TimesNewRoman" w:cs="TimesNewRoman"/>
          <w:sz w:val="28"/>
          <w:szCs w:val="28"/>
        </w:rPr>
        <w:t>его доходных источников. К инструментам вертикального выравнивания относятся закрепление налогов за определенным уровнем, субвенции и субсидии, распределение регулирующих доходов. Однако необходимо отметить, что вертикальное выравнивание не решает всех проблем межбюджетного регулирования с точки зрения управления социально-экономическим развитием регионов и сглаживания неравномерности экономического пространства. Вертикальное выравнивание должно сочетаться с горизонтальным. Только такой подход позволит с</w:t>
      </w:r>
      <w:r w:rsidR="0044017A">
        <w:rPr>
          <w:rFonts w:ascii="TimesNewRoman" w:hAnsi="TimesNewRoman" w:cs="TimesNewRoman"/>
          <w:sz w:val="28"/>
          <w:szCs w:val="28"/>
        </w:rPr>
        <w:t xml:space="preserve">гладить </w:t>
      </w:r>
      <w:r w:rsidR="00031BCA">
        <w:rPr>
          <w:rFonts w:ascii="TimesNewRoman" w:hAnsi="TimesNewRoman" w:cs="TimesNewRoman"/>
          <w:sz w:val="28"/>
          <w:szCs w:val="28"/>
        </w:rPr>
        <w:t xml:space="preserve">гипертрофированную </w:t>
      </w:r>
      <w:r w:rsidR="0044017A">
        <w:rPr>
          <w:rFonts w:ascii="TimesNewRoman" w:hAnsi="TimesNewRoman" w:cs="TimesNewRoman"/>
          <w:sz w:val="28"/>
          <w:szCs w:val="28"/>
        </w:rPr>
        <w:t>дифференциацию территориального развития</w:t>
      </w:r>
      <w:r w:rsidR="00ED1F9F" w:rsidRPr="005F68BB">
        <w:rPr>
          <w:rFonts w:ascii="TimesNewRoman" w:hAnsi="TimesNewRoman" w:cs="TimesNewRoman"/>
          <w:sz w:val="28"/>
          <w:szCs w:val="28"/>
        </w:rPr>
        <w:t xml:space="preserve"> [10]</w:t>
      </w:r>
      <w:r w:rsidR="0044017A">
        <w:rPr>
          <w:rFonts w:ascii="TimesNewRoman" w:hAnsi="TimesNewRoman" w:cs="TimesNewRoman"/>
          <w:sz w:val="28"/>
          <w:szCs w:val="28"/>
        </w:rPr>
        <w:t>.</w:t>
      </w:r>
    </w:p>
    <w:p w:rsidR="003E0517" w:rsidRDefault="003E0517" w:rsidP="00D34F56">
      <w:pPr>
        <w:pStyle w:val="a6"/>
        <w:spacing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Горизонтальное выравнивание</w:t>
      </w:r>
      <w:r w:rsidR="00F13AA5">
        <w:rPr>
          <w:rFonts w:ascii="TimesNewRoman" w:hAnsi="TimesNewRoman" w:cs="TimesNewRoman"/>
          <w:sz w:val="28"/>
          <w:szCs w:val="28"/>
        </w:rPr>
        <w:t xml:space="preserve"> ориентировано на обеспечение единого стандарта уровня потребления государственных услуг жителями различных регионов страны. Применительно к экономическому пространству России задачи горизонтального выравнивания достаточно сложны, так как существуют сильные различия в социально-экономическом развитии регионов обусловленные природно-климатическими и историческими факторами. </w:t>
      </w:r>
    </w:p>
    <w:p w:rsidR="00031BCA" w:rsidRDefault="00447BC9" w:rsidP="00D34F56">
      <w:pPr>
        <w:pStyle w:val="a6"/>
        <w:spacing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Рис.</w:t>
      </w:r>
      <w:r w:rsidR="00031BCA">
        <w:rPr>
          <w:rFonts w:ascii="TimesNewRoman" w:hAnsi="TimesNewRoman" w:cs="TimesNewRoman"/>
          <w:sz w:val="28"/>
          <w:szCs w:val="28"/>
        </w:rPr>
        <w:t xml:space="preserve"> 1. Комплиментарно-адаптивное применение инструментов меж</w:t>
      </w:r>
      <w:r w:rsidR="007F1079">
        <w:rPr>
          <w:rFonts w:ascii="TimesNewRoman" w:hAnsi="TimesNewRoman" w:cs="TimesNewRoman"/>
          <w:sz w:val="28"/>
          <w:szCs w:val="28"/>
        </w:rPr>
        <w:t xml:space="preserve">бюджетных отношений в условиях сглаживания неравномерности социально-экономического развития регионов. </w:t>
      </w:r>
    </w:p>
    <w:p w:rsidR="007F1079" w:rsidRDefault="00710B36" w:rsidP="007F1079">
      <w:pPr>
        <w:pStyle w:val="a6"/>
        <w:spacing w:line="360" w:lineRule="auto"/>
        <w:jc w:val="both"/>
        <w:rPr>
          <w:rFonts w:ascii="TimesNewRoman" w:hAnsi="TimesNewRoman" w:cs="TimesNewRoman"/>
          <w:sz w:val="28"/>
          <w:szCs w:val="28"/>
        </w:rPr>
      </w:pPr>
      <w:r w:rsidRPr="00710B36">
        <w:rPr>
          <w:rFonts w:ascii="TimesNewRoman" w:hAnsi="TimesNewRoman" w:cs="TimesNew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830100"/>
            <wp:effectExtent l="19050" t="0" r="317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43932" cy="5250693"/>
                      <a:chOff x="357158" y="571480"/>
                      <a:chExt cx="8143932" cy="5250693"/>
                    </a:xfrm>
                  </a:grpSpPr>
                  <a:grpSp>
                    <a:nvGrpSpPr>
                      <a:cNvPr id="38" name="Группа 37"/>
                      <a:cNvGrpSpPr/>
                    </a:nvGrpSpPr>
                    <a:grpSpPr>
                      <a:xfrm>
                        <a:off x="357158" y="571480"/>
                        <a:ext cx="8143932" cy="5250693"/>
                        <a:chOff x="357158" y="571480"/>
                        <a:chExt cx="8143932" cy="5250693"/>
                      </a:xfrm>
                    </a:grpSpPr>
                    <a:sp>
                      <a:nvSpPr>
                        <a:cNvPr id="4" name="Прямоугольник 3"/>
                        <a:cNvSpPr/>
                      </a:nvSpPr>
                      <a:spPr>
                        <a:xfrm rot="16200000">
                          <a:off x="-1035883" y="2821777"/>
                          <a:ext cx="3571900" cy="7858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Управление финансовыми потоками</a:t>
                            </a:r>
                            <a:endParaRPr lang="ru-RU" sz="14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Прямоугольник 4"/>
                        <a:cNvSpPr/>
                      </a:nvSpPr>
                      <a:spPr>
                        <a:xfrm rot="16200000">
                          <a:off x="714348" y="1214422"/>
                          <a:ext cx="2143140" cy="857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Инструменты вертикального выравнивания</a:t>
                            </a:r>
                            <a:endParaRPr lang="ru-RU" sz="14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Прямоугольник 5"/>
                        <a:cNvSpPr/>
                      </a:nvSpPr>
                      <a:spPr>
                        <a:xfrm rot="16200000">
                          <a:off x="642911" y="4286255"/>
                          <a:ext cx="2250297" cy="821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Инструменты горизонтального выравнивания</a:t>
                            </a:r>
                            <a:endParaRPr lang="ru-RU" sz="14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Прямоугольник 6"/>
                        <a:cNvSpPr/>
                      </a:nvSpPr>
                      <a:spPr>
                        <a:xfrm>
                          <a:off x="2857488" y="2143116"/>
                          <a:ext cx="2714644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Вертикальная сбалансированность</a:t>
                            </a:r>
                            <a:endParaRPr lang="ru-RU" sz="14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Прямоугольник 7"/>
                        <a:cNvSpPr/>
                      </a:nvSpPr>
                      <a:spPr>
                        <a:xfrm>
                          <a:off x="2786050" y="3500438"/>
                          <a:ext cx="2786082" cy="5000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Горизонтальная сбалансированность</a:t>
                            </a:r>
                            <a:endParaRPr lang="ru-RU" sz="14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Прямоугольник 8"/>
                        <a:cNvSpPr/>
                      </a:nvSpPr>
                      <a:spPr>
                        <a:xfrm>
                          <a:off x="2428860" y="642918"/>
                          <a:ext cx="3571900" cy="857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рациональное распределение бюджетных полномочий между уровнями межбюджетных отношений</a:t>
                            </a:r>
                            <a:endParaRPr lang="ru-RU" sz="14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Прямоугольник 9"/>
                        <a:cNvSpPr/>
                      </a:nvSpPr>
                      <a:spPr>
                        <a:xfrm>
                          <a:off x="2357422" y="4786322"/>
                          <a:ext cx="3643338" cy="7858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обеспечение единого стандарта уровня потребления государственных услуг </a:t>
                            </a:r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 на всей территории государства</a:t>
                            </a:r>
                            <a:endParaRPr lang="ru-RU" sz="14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Прямоугольник 10"/>
                        <a:cNvSpPr/>
                      </a:nvSpPr>
                      <a:spPr>
                        <a:xfrm>
                          <a:off x="6429388" y="1214422"/>
                          <a:ext cx="2071702" cy="36433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dirty="0" smtClean="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Сбалансированная структура социально-экономического пространства</a:t>
                            </a:r>
                            <a:endParaRPr lang="ru-RU" sz="14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3" name="Прямая со стрелкой 12"/>
                        <a:cNvCxnSpPr>
                          <a:stCxn id="8" idx="3"/>
                          <a:endCxn id="11" idx="1"/>
                        </a:cNvCxnSpPr>
                      </a:nvCxnSpPr>
                      <a:spPr>
                        <a:xfrm flipV="1">
                          <a:off x="5572132" y="3036091"/>
                          <a:ext cx="857256" cy="714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" name="Прямая со стрелкой 14"/>
                        <a:cNvCxnSpPr>
                          <a:stCxn id="7" idx="3"/>
                          <a:endCxn id="11" idx="1"/>
                        </a:cNvCxnSpPr>
                      </a:nvCxnSpPr>
                      <a:spPr>
                        <a:xfrm>
                          <a:off x="5572132" y="2393149"/>
                          <a:ext cx="857256" cy="6429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" name="Прямая соединительная линия 17"/>
                        <a:cNvCxnSpPr/>
                      </a:nvCxnSpPr>
                      <a:spPr>
                        <a:xfrm>
                          <a:off x="1142976" y="1928802"/>
                          <a:ext cx="214314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" name="Прямая соединительная линия 19"/>
                        <a:cNvCxnSpPr/>
                      </a:nvCxnSpPr>
                      <a:spPr>
                        <a:xfrm>
                          <a:off x="1142976" y="4572008"/>
                          <a:ext cx="214314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" name="Прямая со стрелкой 23"/>
                        <a:cNvCxnSpPr>
                          <a:stCxn id="6" idx="2"/>
                          <a:endCxn id="10" idx="1"/>
                        </a:cNvCxnSpPr>
                      </a:nvCxnSpPr>
                      <a:spPr>
                        <a:xfrm>
                          <a:off x="2178829" y="4697024"/>
                          <a:ext cx="178593" cy="4822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Прямая со стрелкой 25"/>
                        <a:cNvCxnSpPr>
                          <a:stCxn id="9" idx="2"/>
                          <a:endCxn id="7" idx="0"/>
                        </a:cNvCxnSpPr>
                      </a:nvCxnSpPr>
                      <a:spPr>
                        <a:xfrm rot="5400000">
                          <a:off x="3893339" y="1821645"/>
                          <a:ext cx="642942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Прямая со стрелкой 27"/>
                        <a:cNvCxnSpPr>
                          <a:stCxn id="10" idx="0"/>
                          <a:endCxn id="8" idx="2"/>
                        </a:cNvCxnSpPr>
                      </a:nvCxnSpPr>
                      <a:spPr>
                        <a:xfrm rot="5400000" flipH="1" flipV="1">
                          <a:off x="3786182" y="4393413"/>
                          <a:ext cx="785818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5" name="Прямая со стрелкой 34"/>
                        <a:cNvCxnSpPr>
                          <a:stCxn id="5" idx="2"/>
                          <a:endCxn id="9" idx="1"/>
                        </a:cNvCxnSpPr>
                      </a:nvCxnSpPr>
                      <a:spPr>
                        <a:xfrm flipV="1">
                          <a:off x="2214546" y="1071546"/>
                          <a:ext cx="214314" cy="5715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710B36" w:rsidRDefault="00710B36" w:rsidP="00D34F56">
      <w:pPr>
        <w:pStyle w:val="a6"/>
        <w:spacing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D34F56" w:rsidRDefault="001C55D6" w:rsidP="00D34F56">
      <w:pPr>
        <w:pStyle w:val="a6"/>
        <w:spacing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Комплиментарно </w:t>
      </w:r>
      <w:r w:rsidR="0044017A">
        <w:rPr>
          <w:rFonts w:ascii="TimesNewRoman" w:hAnsi="TimesNewRoman" w:cs="TimesNewRoman"/>
          <w:sz w:val="28"/>
          <w:szCs w:val="28"/>
        </w:rPr>
        <w:t>- адаптивное применение инструментов межбюджетного регулирования</w:t>
      </w:r>
      <w:r w:rsidR="003E0517">
        <w:rPr>
          <w:rFonts w:ascii="TimesNewRoman" w:hAnsi="TimesNewRoman" w:cs="TimesNewRoman"/>
          <w:sz w:val="28"/>
          <w:szCs w:val="28"/>
        </w:rPr>
        <w:t xml:space="preserve">, в частности сочетание инструментов вертикального и горизонтального выравнивания, а также бюджетного стимулирования позволит сформировать активную региональную политику экономического роста. </w:t>
      </w:r>
      <w:r w:rsidR="00044486">
        <w:rPr>
          <w:rFonts w:ascii="TimesNewRoman" w:hAnsi="TimesNewRoman" w:cs="TimesNewRoman"/>
          <w:sz w:val="28"/>
          <w:szCs w:val="28"/>
        </w:rPr>
        <w:t>При таком сочетании становиться возможным решение задачи выравнивания условий производства социальных благ на отдельных территориях</w:t>
      </w:r>
      <w:r w:rsidR="00ED1F9F" w:rsidRPr="00ED1F9F">
        <w:rPr>
          <w:rFonts w:ascii="TimesNewRoman" w:hAnsi="TimesNewRoman" w:cs="TimesNewRoman"/>
          <w:sz w:val="28"/>
          <w:szCs w:val="28"/>
        </w:rPr>
        <w:t xml:space="preserve"> [1</w:t>
      </w:r>
      <w:r w:rsidR="00ED1F9F" w:rsidRPr="00043C94">
        <w:rPr>
          <w:rFonts w:ascii="TimesNewRoman" w:hAnsi="TimesNewRoman" w:cs="TimesNewRoman"/>
          <w:sz w:val="28"/>
          <w:szCs w:val="28"/>
        </w:rPr>
        <w:t>1</w:t>
      </w:r>
      <w:r w:rsidR="00ED1F9F" w:rsidRPr="00ED1F9F">
        <w:rPr>
          <w:rFonts w:ascii="TimesNewRoman" w:hAnsi="TimesNewRoman" w:cs="TimesNewRoman"/>
          <w:sz w:val="28"/>
          <w:szCs w:val="28"/>
        </w:rPr>
        <w:t>]</w:t>
      </w:r>
      <w:r w:rsidR="00044486">
        <w:rPr>
          <w:rFonts w:ascii="TimesNewRoman" w:hAnsi="TimesNewRoman" w:cs="TimesNewRoman"/>
          <w:sz w:val="28"/>
          <w:szCs w:val="28"/>
        </w:rPr>
        <w:t xml:space="preserve">. Это позволяет донору контролировать бюджет реципиентов, влиять как на объем, так и на структуру расходов региона. Данная задача может быть решена через систему целевых грантов. </w:t>
      </w:r>
    </w:p>
    <w:p w:rsidR="00044486" w:rsidRDefault="00044486" w:rsidP="00D34F56">
      <w:pPr>
        <w:pStyle w:val="a6"/>
        <w:spacing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Следующей задачей, которая может быть решена при комплиментарно- адаптивном сочетании инструментов межбюджетного регулирования является выравнивание бюджетного потенциала. В рамках данной задачи осуществляется повышение бюджетных потенциалов нуждающихся регионов, что реализуется посредством общих или универсальных трансфертов. </w:t>
      </w:r>
    </w:p>
    <w:p w:rsidR="00044486" w:rsidRDefault="00044486" w:rsidP="00D34F56">
      <w:pPr>
        <w:pStyle w:val="a6"/>
        <w:spacing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 xml:space="preserve">Уровень выравнивания социально-экономического развития регионов определяется </w:t>
      </w:r>
      <w:r w:rsidR="00A443D6">
        <w:rPr>
          <w:rFonts w:ascii="TimesNewRoman" w:hAnsi="TimesNewRoman" w:cs="TimesNewRoman"/>
          <w:sz w:val="28"/>
          <w:szCs w:val="28"/>
        </w:rPr>
        <w:t xml:space="preserve">целями и </w:t>
      </w:r>
      <w:r>
        <w:rPr>
          <w:rFonts w:ascii="TimesNewRoman" w:hAnsi="TimesNewRoman" w:cs="TimesNewRoman"/>
          <w:sz w:val="28"/>
          <w:szCs w:val="28"/>
        </w:rPr>
        <w:t>задачами</w:t>
      </w:r>
      <w:r w:rsidR="00A443D6">
        <w:rPr>
          <w:rFonts w:ascii="TimesNewRoman" w:hAnsi="TimesNewRoman" w:cs="TimesNewRoman"/>
          <w:sz w:val="28"/>
          <w:szCs w:val="28"/>
        </w:rPr>
        <w:t xml:space="preserve"> макроэкономического развития. Выравнивающим стандартом может быть признан средний или медианный уровень социально-экономического развития по всей совокупности регионов или по отдельной выборке, имеющий наибольший бюджетный потенциал. </w:t>
      </w:r>
    </w:p>
    <w:p w:rsidR="0035138A" w:rsidRDefault="0035138A" w:rsidP="00D34F56">
      <w:pPr>
        <w:pStyle w:val="a6"/>
        <w:spacing w:line="36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35138A" w:rsidRPr="0035138A" w:rsidRDefault="0035138A" w:rsidP="00351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55D6" w:rsidRPr="003E17DE" w:rsidRDefault="00710B36" w:rsidP="00710B36">
      <w:pPr>
        <w:pStyle w:val="a6"/>
        <w:spacing w:line="36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3E17DE">
        <w:rPr>
          <w:rFonts w:ascii="TimesNewRoman" w:hAnsi="TimesNewRoman" w:cs="TimesNewRoman"/>
          <w:b/>
          <w:sz w:val="28"/>
          <w:szCs w:val="28"/>
        </w:rPr>
        <w:t>Список литературы</w:t>
      </w:r>
    </w:p>
    <w:p w:rsidR="00702B90" w:rsidRPr="00702B90" w:rsidRDefault="00702B90" w:rsidP="00702B90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90">
        <w:rPr>
          <w:rFonts w:ascii="Times New Roman" w:hAnsi="Times New Roman" w:cs="Times New Roman"/>
          <w:sz w:val="28"/>
          <w:szCs w:val="28"/>
        </w:rPr>
        <w:t>Шургалина, И.Н. Реформирование российской экономики. Опыт анализа в свете теории катастроф [Текст] / И.Н. Шургалина.- М.: Российская политическая энциклопедия, 1997. – 221 с.</w:t>
      </w:r>
    </w:p>
    <w:p w:rsidR="00ED1F9F" w:rsidRPr="00ED1F9F" w:rsidRDefault="00702B90" w:rsidP="00ED1F9F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90">
        <w:rPr>
          <w:rFonts w:ascii="Times New Roman" w:hAnsi="Times New Roman" w:cs="Times New Roman"/>
          <w:sz w:val="28"/>
          <w:szCs w:val="28"/>
        </w:rPr>
        <w:t>Татаркин, А.И. Моделирование устойчивого развития как условие повышения экономической безопасности территории [Текст] / А.И. Татаркин, Д.С. Львов, А.А. Куклин, А.Л. Мызин, Л.Л. Богатырев, Б.А. Коробицын, В.И. Яковлев. – Екатеринбург: Изд-во Урал. ун-та, 1999. – 276 с.</w:t>
      </w:r>
    </w:p>
    <w:p w:rsidR="00702B90" w:rsidRDefault="00702B90" w:rsidP="00702B90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90">
        <w:rPr>
          <w:rFonts w:ascii="Times New Roman" w:hAnsi="Times New Roman" w:cs="Times New Roman"/>
          <w:sz w:val="28"/>
          <w:szCs w:val="28"/>
        </w:rPr>
        <w:t>Акофф, Р.Л. Планирование в больших экономических системах [Текст] / Р.Л. Акофф. – М.: Советское радио, 1972. – 224 с.</w:t>
      </w:r>
    </w:p>
    <w:p w:rsidR="00ED1F9F" w:rsidRPr="00ED1F9F" w:rsidRDefault="00ED1F9F" w:rsidP="00ED1F9F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17DE">
        <w:rPr>
          <w:rFonts w:ascii="Times New Roman" w:hAnsi="Times New Roman" w:cs="Times New Roman"/>
          <w:iCs/>
          <w:sz w:val="28"/>
          <w:szCs w:val="28"/>
          <w:lang w:val="en-US"/>
        </w:rPr>
        <w:t>Barro R., Sala-i-Martin X.</w:t>
      </w:r>
      <w:r w:rsidRPr="004A078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4A0780">
        <w:rPr>
          <w:rFonts w:ascii="Times New Roman" w:hAnsi="Times New Roman" w:cs="Times New Roman"/>
          <w:sz w:val="28"/>
          <w:szCs w:val="28"/>
          <w:lang w:val="en-US"/>
        </w:rPr>
        <w:t>(2004) Economic Growth. 2nd ed.</w:t>
      </w:r>
      <w:r w:rsidR="001727E9" w:rsidRPr="001727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0780">
        <w:rPr>
          <w:rFonts w:ascii="Times New Roman" w:hAnsi="Times New Roman" w:cs="Times New Roman"/>
          <w:sz w:val="28"/>
          <w:szCs w:val="28"/>
          <w:lang w:val="en-US"/>
        </w:rPr>
        <w:t>The MIT Press, 2004.</w:t>
      </w:r>
      <w:r w:rsidR="00D91F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1FA2"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 w:rsidR="00D91FA2">
        <w:rPr>
          <w:rFonts w:ascii="Times New Roman" w:hAnsi="Times New Roman" w:cs="Times New Roman"/>
          <w:sz w:val="28"/>
          <w:szCs w:val="28"/>
          <w:lang w:val="en-US"/>
        </w:rPr>
        <w:t>106p.</w:t>
      </w:r>
    </w:p>
    <w:p w:rsidR="00702B90" w:rsidRPr="00702B90" w:rsidRDefault="00702B90" w:rsidP="00702B90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90">
        <w:rPr>
          <w:rFonts w:ascii="Times New Roman" w:hAnsi="Times New Roman" w:cs="Times New Roman"/>
          <w:sz w:val="28"/>
          <w:szCs w:val="28"/>
        </w:rPr>
        <w:t>Валентей, С.Д. Проблемы и перспективы муниципальной реформы в Российской Федерации [Текст] / С.Д. Валентей, Т.Я. Хабриева. – М., 2008. – 125 c.</w:t>
      </w:r>
    </w:p>
    <w:p w:rsidR="00702B90" w:rsidRPr="00702B90" w:rsidRDefault="00702B90" w:rsidP="00702B90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90">
        <w:rPr>
          <w:rFonts w:ascii="Times New Roman" w:hAnsi="Times New Roman" w:cs="Times New Roman"/>
          <w:sz w:val="28"/>
          <w:szCs w:val="28"/>
        </w:rPr>
        <w:t>Гранберг, А.Г. Основы регион</w:t>
      </w:r>
      <w:r w:rsidR="00ED1F9F">
        <w:rPr>
          <w:rFonts w:ascii="Times New Roman" w:hAnsi="Times New Roman" w:cs="Times New Roman"/>
          <w:sz w:val="28"/>
          <w:szCs w:val="28"/>
        </w:rPr>
        <w:t xml:space="preserve">альной экономики [Текст] / А.Г. </w:t>
      </w:r>
      <w:r w:rsidRPr="00702B90">
        <w:rPr>
          <w:rFonts w:ascii="Times New Roman" w:hAnsi="Times New Roman" w:cs="Times New Roman"/>
          <w:sz w:val="28"/>
          <w:szCs w:val="28"/>
        </w:rPr>
        <w:t>Гранберг. – М.: ГУ-ВШЭ, 2000. – 496 с.</w:t>
      </w:r>
    </w:p>
    <w:p w:rsidR="00702B90" w:rsidRPr="00702B90" w:rsidRDefault="00702B90" w:rsidP="00702B90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90">
        <w:rPr>
          <w:rFonts w:ascii="Times New Roman" w:hAnsi="Times New Roman" w:cs="Times New Roman"/>
          <w:sz w:val="28"/>
          <w:szCs w:val="28"/>
        </w:rPr>
        <w:t xml:space="preserve">Клейнер, Г.Б. Состояние и актуальные проблемы государственного, регионального и корпоративного стратегического планирования в России. – Ч. 1: Становление системы государственного стратегического планирования [Текст] / Г.Б. Клейнер, Д.С. Шмерлинг, Р.М. Качалов [и </w:t>
      </w:r>
      <w:r w:rsidRPr="00702B90">
        <w:rPr>
          <w:rFonts w:ascii="Times New Roman" w:hAnsi="Times New Roman" w:cs="Times New Roman"/>
          <w:sz w:val="28"/>
          <w:szCs w:val="28"/>
        </w:rPr>
        <w:lastRenderedPageBreak/>
        <w:t>др.]. – М.: МШЭ МГУ, Центр стратегического планирования, 2007.</w:t>
      </w:r>
      <w:r w:rsidR="00D91FA2">
        <w:rPr>
          <w:rFonts w:ascii="Times New Roman" w:hAnsi="Times New Roman" w:cs="Times New Roman"/>
          <w:sz w:val="28"/>
          <w:szCs w:val="28"/>
        </w:rPr>
        <w:sym w:font="Symbol" w:char="F02D"/>
      </w:r>
      <w:r w:rsidR="00D91FA2">
        <w:rPr>
          <w:rFonts w:ascii="Times New Roman" w:hAnsi="Times New Roman" w:cs="Times New Roman"/>
          <w:sz w:val="28"/>
          <w:szCs w:val="28"/>
          <w:lang w:val="en-US"/>
        </w:rPr>
        <w:t>226</w:t>
      </w:r>
      <w:r w:rsidR="00D91FA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E2451" w:rsidRDefault="003550B2" w:rsidP="00DE2451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И.К., Развадовская Ю.В. Инновационные детерминанты неравномерности экономического пространства: методика оценки и факторы преодоления</w:t>
      </w:r>
      <w:r w:rsidR="00ED1F9F" w:rsidRPr="00702B90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1F9F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Региональная экономика: теория и практика. 2009. № 16. С. 21-25</w:t>
      </w:r>
    </w:p>
    <w:p w:rsidR="00DE2451" w:rsidRPr="00ED1F9F" w:rsidRDefault="00DE2451" w:rsidP="00ED1F9F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38A">
        <w:rPr>
          <w:rFonts w:ascii="Times New Roman" w:hAnsi="Times New Roman" w:cs="Times New Roman"/>
          <w:sz w:val="28"/>
          <w:szCs w:val="28"/>
        </w:rPr>
        <w:t xml:space="preserve">Развадовская Ю.В. </w:t>
      </w:r>
      <w:r w:rsidRPr="003513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Управление воспроизводственным потенциалом в системе сбалансированного развития экономики региона</w:t>
      </w:r>
      <w:r w:rsidR="00ED1F9F" w:rsidRPr="003513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35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F9F" w:rsidRPr="0035138A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r w:rsidRPr="003513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Инженерный вестник дона.</w:t>
      </w:r>
      <w:r w:rsidR="00ED1F9F" w:rsidRPr="0035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3. 2013. – Режим доступа: </w:t>
      </w:r>
      <w:hyperlink r:id="rId8" w:history="1">
        <w:r w:rsidR="0035138A" w:rsidRPr="0035138A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http://www.ivdon.ru/magazine/archive/n3y2013/1772</w:t>
        </w:r>
      </w:hyperlink>
      <w:r w:rsidR="0035138A" w:rsidRPr="0035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F9F" w:rsidRPr="0035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(доступ свободный) - </w:t>
      </w:r>
      <w:r w:rsidR="00ED1F9F" w:rsidRPr="0035138A">
        <w:rPr>
          <w:rFonts w:ascii="Times New Roman" w:eastAsia="Calibri" w:hAnsi="Times New Roman" w:cs="Times New Roman"/>
          <w:sz w:val="28"/>
          <w:szCs w:val="28"/>
        </w:rPr>
        <w:t>Загл.</w:t>
      </w:r>
      <w:r w:rsidR="00ED1F9F" w:rsidRPr="007500A9">
        <w:rPr>
          <w:rFonts w:ascii="Times New Roman" w:eastAsia="Calibri" w:hAnsi="Times New Roman" w:cs="Times New Roman"/>
          <w:sz w:val="28"/>
          <w:szCs w:val="28"/>
        </w:rPr>
        <w:t xml:space="preserve"> с экрана. – Яз. рус. </w:t>
      </w:r>
    </w:p>
    <w:p w:rsidR="00DE2451" w:rsidRPr="007500A9" w:rsidRDefault="00DE2451" w:rsidP="00DE2451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500A9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Porter M. E.</w:t>
      </w:r>
      <w:r w:rsidRPr="007500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Towards a Dynamic Theory of </w:t>
      </w:r>
      <w:r w:rsidRPr="00ED1F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Strategy // </w:t>
      </w:r>
      <w:hyperlink r:id="rId9" w:tooltip="Strategic Management Journal (страница отсутствует)" w:history="1">
        <w:r w:rsidRPr="00ED1F9F">
          <w:rPr>
            <w:rStyle w:val="ad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lang w:val="en-US"/>
          </w:rPr>
          <w:t>Strategic Management Journal</w:t>
        </w:r>
      </w:hyperlink>
      <w:r w:rsidRPr="00ED1F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1991, 12 (Winter Special Issue), pp</w:t>
      </w:r>
      <w:r w:rsidRPr="007500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95-117.</w:t>
      </w:r>
    </w:p>
    <w:p w:rsidR="003550B2" w:rsidRPr="00ED1F9F" w:rsidRDefault="00DE2451" w:rsidP="00ED1F9F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0A9">
        <w:rPr>
          <w:rFonts w:ascii="Times New Roman" w:hAnsi="Times New Roman" w:cs="Times New Roman"/>
          <w:sz w:val="28"/>
          <w:szCs w:val="28"/>
        </w:rPr>
        <w:t xml:space="preserve">Ахмадов М-Э.И. Поиск и реализация направлений сбалансированного согласования структурных элементов экономики региона. [Электронный ресурс] // Инженерный вестник Дона. № 3. 2011. - Режим доступа: </w:t>
      </w:r>
      <w:hyperlink r:id="rId10" w:history="1">
        <w:r w:rsidRPr="007500A9">
          <w:rPr>
            <w:rStyle w:val="ad"/>
            <w:rFonts w:ascii="Times New Roman" w:hAnsi="Times New Roman" w:cs="Times New Roman"/>
            <w:sz w:val="28"/>
            <w:szCs w:val="28"/>
          </w:rPr>
          <w:t>http://www.ivdon.ru/magazine/archive/n3y2011/487</w:t>
        </w:r>
      </w:hyperlink>
      <w:r w:rsidRPr="007500A9">
        <w:rPr>
          <w:rFonts w:ascii="Times New Roman" w:hAnsi="Times New Roman" w:cs="Times New Roman"/>
          <w:sz w:val="28"/>
          <w:szCs w:val="28"/>
        </w:rPr>
        <w:t xml:space="preserve"> </w:t>
      </w:r>
      <w:r w:rsidRPr="007500A9">
        <w:rPr>
          <w:rFonts w:ascii="Times New Roman" w:eastAsia="Calibri" w:hAnsi="Times New Roman" w:cs="Times New Roman"/>
          <w:sz w:val="28"/>
          <w:szCs w:val="28"/>
        </w:rPr>
        <w:t xml:space="preserve">(доступ свободный) – Загл. с экрана. – Яз. рус. </w:t>
      </w:r>
    </w:p>
    <w:sectPr w:rsidR="003550B2" w:rsidRPr="00ED1F9F" w:rsidSect="00BF3BF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CFA" w:rsidRDefault="00AF7CFA" w:rsidP="0024260A">
      <w:pPr>
        <w:spacing w:after="0" w:line="240" w:lineRule="auto"/>
      </w:pPr>
      <w:r>
        <w:separator/>
      </w:r>
    </w:p>
  </w:endnote>
  <w:endnote w:type="continuationSeparator" w:id="1">
    <w:p w:rsidR="00AF7CFA" w:rsidRDefault="00AF7CFA" w:rsidP="0024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86" w:rsidRDefault="00044486">
    <w:pPr>
      <w:pStyle w:val="a9"/>
      <w:jc w:val="right"/>
    </w:pPr>
  </w:p>
  <w:p w:rsidR="00044486" w:rsidRDefault="000444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CFA" w:rsidRDefault="00AF7CFA" w:rsidP="0024260A">
      <w:pPr>
        <w:spacing w:after="0" w:line="240" w:lineRule="auto"/>
      </w:pPr>
      <w:r>
        <w:separator/>
      </w:r>
    </w:p>
  </w:footnote>
  <w:footnote w:type="continuationSeparator" w:id="1">
    <w:p w:rsidR="00AF7CFA" w:rsidRDefault="00AF7CFA" w:rsidP="0024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0249"/>
    <w:multiLevelType w:val="hybridMultilevel"/>
    <w:tmpl w:val="1C3A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7530"/>
    <w:multiLevelType w:val="hybridMultilevel"/>
    <w:tmpl w:val="6D50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63FF"/>
    <w:multiLevelType w:val="hybridMultilevel"/>
    <w:tmpl w:val="6D50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137B9"/>
    <w:multiLevelType w:val="hybridMultilevel"/>
    <w:tmpl w:val="70782140"/>
    <w:lvl w:ilvl="0" w:tplc="1DF82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330BFF"/>
    <w:multiLevelType w:val="hybridMultilevel"/>
    <w:tmpl w:val="6D50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D0C37"/>
    <w:multiLevelType w:val="hybridMultilevel"/>
    <w:tmpl w:val="70782140"/>
    <w:lvl w:ilvl="0" w:tplc="1DF82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43036B"/>
    <w:multiLevelType w:val="hybridMultilevel"/>
    <w:tmpl w:val="6D50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64FFF"/>
    <w:multiLevelType w:val="hybridMultilevel"/>
    <w:tmpl w:val="6D50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20519"/>
    <w:multiLevelType w:val="hybridMultilevel"/>
    <w:tmpl w:val="6D50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60A"/>
    <w:rsid w:val="00004497"/>
    <w:rsid w:val="00031BCA"/>
    <w:rsid w:val="00043C94"/>
    <w:rsid w:val="00044486"/>
    <w:rsid w:val="000662B6"/>
    <w:rsid w:val="000D4341"/>
    <w:rsid w:val="001727E9"/>
    <w:rsid w:val="001B089D"/>
    <w:rsid w:val="001C55D6"/>
    <w:rsid w:val="0024260A"/>
    <w:rsid w:val="0035138A"/>
    <w:rsid w:val="003550B2"/>
    <w:rsid w:val="00360B39"/>
    <w:rsid w:val="003A5304"/>
    <w:rsid w:val="003E0517"/>
    <w:rsid w:val="003E17DE"/>
    <w:rsid w:val="0044017A"/>
    <w:rsid w:val="00447BC9"/>
    <w:rsid w:val="004E321C"/>
    <w:rsid w:val="004E3EC0"/>
    <w:rsid w:val="005F23F7"/>
    <w:rsid w:val="005F68BB"/>
    <w:rsid w:val="00612AC4"/>
    <w:rsid w:val="006D60D0"/>
    <w:rsid w:val="00702B90"/>
    <w:rsid w:val="00704A6B"/>
    <w:rsid w:val="00710B36"/>
    <w:rsid w:val="00747902"/>
    <w:rsid w:val="00791A20"/>
    <w:rsid w:val="007E5CBF"/>
    <w:rsid w:val="007F1079"/>
    <w:rsid w:val="009A69BC"/>
    <w:rsid w:val="009C7F56"/>
    <w:rsid w:val="00A443D6"/>
    <w:rsid w:val="00A63C2D"/>
    <w:rsid w:val="00AA3B13"/>
    <w:rsid w:val="00AD41A3"/>
    <w:rsid w:val="00AF7CFA"/>
    <w:rsid w:val="00BD3471"/>
    <w:rsid w:val="00BF3BFE"/>
    <w:rsid w:val="00CE68FB"/>
    <w:rsid w:val="00D34F56"/>
    <w:rsid w:val="00D64192"/>
    <w:rsid w:val="00D91FA2"/>
    <w:rsid w:val="00DE2451"/>
    <w:rsid w:val="00ED0876"/>
    <w:rsid w:val="00ED1F9F"/>
    <w:rsid w:val="00EE5B90"/>
    <w:rsid w:val="00F13AA5"/>
    <w:rsid w:val="00F370FC"/>
    <w:rsid w:val="00F6510A"/>
    <w:rsid w:val="00F72628"/>
    <w:rsid w:val="00F81570"/>
    <w:rsid w:val="00FE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26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260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4260A"/>
    <w:rPr>
      <w:vertAlign w:val="superscript"/>
    </w:rPr>
  </w:style>
  <w:style w:type="paragraph" w:styleId="a6">
    <w:name w:val="No Spacing"/>
    <w:uiPriority w:val="1"/>
    <w:qFormat/>
    <w:rsid w:val="0024260A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791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1A20"/>
  </w:style>
  <w:style w:type="paragraph" w:styleId="a9">
    <w:name w:val="footer"/>
    <w:basedOn w:val="a"/>
    <w:link w:val="aa"/>
    <w:uiPriority w:val="99"/>
    <w:unhideWhenUsed/>
    <w:rsid w:val="00791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1A20"/>
  </w:style>
  <w:style w:type="paragraph" w:styleId="ab">
    <w:name w:val="Balloon Text"/>
    <w:basedOn w:val="a"/>
    <w:link w:val="ac"/>
    <w:uiPriority w:val="99"/>
    <w:semiHidden/>
    <w:unhideWhenUsed/>
    <w:rsid w:val="0071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0B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10B36"/>
    <w:rPr>
      <w:color w:val="0000FF"/>
      <w:u w:val="single"/>
    </w:rPr>
  </w:style>
  <w:style w:type="paragraph" w:customStyle="1" w:styleId="3">
    <w:name w:val="Стиль3"/>
    <w:basedOn w:val="a"/>
    <w:link w:val="30"/>
    <w:qFormat/>
    <w:rsid w:val="00710B36"/>
    <w:pPr>
      <w:spacing w:after="0" w:line="360" w:lineRule="auto"/>
      <w:ind w:firstLine="709"/>
      <w:jc w:val="both"/>
    </w:pPr>
    <w:rPr>
      <w:rFonts w:ascii="TimesNewRoman" w:hAnsi="TimesNewRoman" w:cs="TimesNewRoman"/>
      <w:sz w:val="24"/>
      <w:szCs w:val="24"/>
    </w:rPr>
  </w:style>
  <w:style w:type="character" w:customStyle="1" w:styleId="30">
    <w:name w:val="Стиль3 Знак"/>
    <w:basedOn w:val="a0"/>
    <w:link w:val="3"/>
    <w:rsid w:val="00710B36"/>
    <w:rPr>
      <w:rFonts w:ascii="TimesNewRoman" w:hAnsi="TimesNewRoman" w:cs="TimesNewRoman"/>
      <w:sz w:val="24"/>
      <w:szCs w:val="24"/>
    </w:rPr>
  </w:style>
  <w:style w:type="paragraph" w:styleId="ae">
    <w:name w:val="List Paragraph"/>
    <w:basedOn w:val="a"/>
    <w:uiPriority w:val="34"/>
    <w:qFormat/>
    <w:rsid w:val="00702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don.ru/magazine/archive/n3y2013/17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vdon.ru/magazine/archive/n3y2011/4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Strategic_Management_Journal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C6AA-37CA-4FC9-B3B2-09C481F3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Даня</cp:lastModifiedBy>
  <cp:revision>11</cp:revision>
  <dcterms:created xsi:type="dcterms:W3CDTF">2013-08-24T09:49:00Z</dcterms:created>
  <dcterms:modified xsi:type="dcterms:W3CDTF">2013-11-10T23:47:00Z</dcterms:modified>
</cp:coreProperties>
</file>